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307CFA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307CFA" w:rsidRPr="0045523E" w:rsidTr="00D65E52">
        <w:trPr>
          <w:trHeight w:val="214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07CF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07CFA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07CFA" w:rsidRDefault="00307CF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SUBDIRECCIÓN TÉCNICA 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07CFA" w:rsidRPr="007E323C" w:rsidRDefault="00307CFA" w:rsidP="00D65E52">
            <w:pPr>
              <w:spacing w:after="0"/>
              <w:rPr>
                <w:rFonts w:ascii="Arial" w:hAnsi="Arial" w:cs="Arial"/>
              </w:rPr>
            </w:pPr>
          </w:p>
          <w:p w:rsidR="00307CFA" w:rsidRPr="007E323C" w:rsidRDefault="00307CFA" w:rsidP="00D65E52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Pr="0045523E" w:rsidRDefault="00307CFA" w:rsidP="00307CFA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07CFA" w:rsidRPr="0045523E" w:rsidRDefault="00307CFA" w:rsidP="00D65E52">
            <w:pPr>
              <w:spacing w:after="0"/>
              <w:rPr>
                <w:rFonts w:ascii="Arial" w:hAnsi="Arial" w:cs="Arial"/>
              </w:rPr>
            </w:pP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1. Formular estudios técnicos y diseños requeridos de los proyectos a desarrollar por la Corporación de acuerdo a sus competencias y normas vigentes.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2. Asesorar técnicamente a las entidades territoriales en todo lo relacionado con obras de protección del medio ambiente.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33CB2">
              <w:rPr>
                <w:rFonts w:ascii="Arial" w:hAnsi="Arial" w:cs="Arial"/>
              </w:rPr>
              <w:t xml:space="preserve">. Participar articuladamente con la Oficina de Planeación en la preparación técnica y diseño de los proyectos de sostenibilidad ambiental y  protección de los recursos naturales.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33CB2">
              <w:rPr>
                <w:rFonts w:ascii="Arial" w:hAnsi="Arial" w:cs="Arial"/>
              </w:rPr>
              <w:t xml:space="preserve">. Apoyar la elaboración de estudios e investigaciones relacionados con las obras de sostenibilidad ambiental y protección de los recursos naturales.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33CB2">
              <w:rPr>
                <w:rFonts w:ascii="Arial" w:hAnsi="Arial" w:cs="Arial"/>
              </w:rPr>
              <w:t xml:space="preserve">. Supervisar la ejecución de obras e interventoría de los proyectos que ejecuta la Corporación acorde con las normas vigentes.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33CB2">
              <w:rPr>
                <w:rFonts w:ascii="Arial" w:hAnsi="Arial" w:cs="Arial"/>
              </w:rPr>
              <w:t xml:space="preserve">. Articular con las entidades territoriales la ejecución administrativa, operación y mantenimiento de proyectos y programas de desarrollo sostenible ambiental. 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833CB2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de la misión institucional.</w:t>
            </w:r>
          </w:p>
          <w:p w:rsidR="00307CFA" w:rsidRPr="00833CB2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33CB2">
              <w:rPr>
                <w:rFonts w:ascii="Arial" w:hAnsi="Arial" w:cs="Arial"/>
              </w:rPr>
              <w:t xml:space="preserve">. Aplicar las normas técnicas de calidad implementadas por la institución en los procesos, </w:t>
            </w:r>
            <w:r w:rsidRPr="00833CB2">
              <w:rPr>
                <w:rFonts w:ascii="Arial" w:hAnsi="Arial" w:cs="Arial"/>
              </w:rPr>
              <w:lastRenderedPageBreak/>
              <w:t>procedimientos y actividades asignadas, con el fin de garantizar la eficiente prestación del servicio.</w:t>
            </w:r>
          </w:p>
          <w:p w:rsidR="00307CFA" w:rsidRPr="0045523E" w:rsidRDefault="00307CF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833CB2">
              <w:rPr>
                <w:rFonts w:ascii="Arial" w:hAnsi="Arial" w:cs="Arial"/>
              </w:rPr>
              <w:t>. Las demás funciones asignadas por la autoridad competente, de acuerdo con el nivel, la naturaleza y</w:t>
            </w:r>
            <w:r>
              <w:rPr>
                <w:rFonts w:ascii="Arial" w:hAnsi="Arial" w:cs="Arial"/>
              </w:rPr>
              <w:t xml:space="preserve"> el área de desempeño del cargo</w:t>
            </w:r>
            <w:r w:rsidRPr="0026158C">
              <w:rPr>
                <w:rFonts w:ascii="Arial" w:hAnsi="Arial" w:cs="Arial"/>
              </w:rPr>
              <w:t>.</w:t>
            </w:r>
          </w:p>
          <w:p w:rsidR="00307CFA" w:rsidRPr="0045523E" w:rsidRDefault="00307CF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307CFA" w:rsidRPr="00105513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2. Contratación Estatal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833CB2">
              <w:rPr>
                <w:rFonts w:ascii="Arial" w:eastAsia="Arial Unicode MS" w:hAnsi="Arial" w:cs="Arial"/>
              </w:rPr>
              <w:t>olíticas de atención al ciudadano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833CB2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7. Gestión integral de proyectos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8. Administración del riesgo</w:t>
            </w:r>
          </w:p>
          <w:p w:rsidR="00307CFA" w:rsidRPr="00833CB2" w:rsidRDefault="00307CFA" w:rsidP="00D65E52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9. Gestión del riesgo y cambio climático</w:t>
            </w:r>
          </w:p>
          <w:p w:rsidR="00307CFA" w:rsidRPr="0045523E" w:rsidRDefault="00307CFA" w:rsidP="00D56B93">
            <w:pPr>
              <w:snapToGrid w:val="0"/>
              <w:spacing w:after="0"/>
              <w:ind w:left="142"/>
              <w:rPr>
                <w:rFonts w:ascii="Arial" w:eastAsia="Arial Unicode MS" w:hAnsi="Arial" w:cs="Arial"/>
                <w:lang w:val="en-US"/>
              </w:rPr>
            </w:pPr>
            <w:bookmarkStart w:id="0" w:name="_GoBack"/>
            <w:bookmarkEnd w:id="0"/>
            <w:r w:rsidRPr="00833CB2">
              <w:rPr>
                <w:rFonts w:ascii="Arial" w:eastAsia="Arial Unicode MS" w:hAnsi="Arial" w:cs="Arial"/>
              </w:rPr>
              <w:t>10. Permisos y trámites ambientales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Pr="00105513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307CFA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07CFA" w:rsidRPr="0045523E" w:rsidTr="00D65E52">
        <w:trPr>
          <w:trHeight w:val="525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07CFA" w:rsidRPr="0045523E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07CFA" w:rsidRPr="0045523E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Ingeniero Civil y Afines. </w:t>
            </w:r>
          </w:p>
          <w:p w:rsidR="00307CFA" w:rsidRPr="0045523E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07CFA" w:rsidRPr="0045523E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:rsidR="00307CFA" w:rsidRPr="0045523E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07CFA" w:rsidRPr="0045523E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  <w:p w:rsidR="00307CFA" w:rsidRPr="0045523E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  <w:color w:val="FF0000"/>
              </w:rPr>
            </w:pPr>
            <w:r w:rsidRPr="0045523E">
              <w:rPr>
                <w:rFonts w:ascii="Arial" w:eastAsia="Arial Unicode MS" w:hAnsi="Arial" w:cs="Arial"/>
              </w:rPr>
              <w:t>Veintisiete (27) meses de experiencia profesional relacionada.</w:t>
            </w:r>
          </w:p>
        </w:tc>
      </w:tr>
      <w:tr w:rsidR="00307CFA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Default="00307CFA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307CFA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07CFA" w:rsidRPr="0045523E" w:rsidTr="00D65E52">
        <w:trPr>
          <w:trHeight w:val="429"/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07CFA" w:rsidRPr="00833CB2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Título Profesional en  la  disciplina académica del núcleo básico del conocimiento en:    Ingeniería civil y afines.</w:t>
            </w:r>
          </w:p>
          <w:p w:rsidR="00307CFA" w:rsidRPr="00833CB2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07CFA" w:rsidRPr="00833CB2" w:rsidRDefault="00307CF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:rsidR="00307CFA" w:rsidRPr="0045523E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07CFA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  <w:p w:rsidR="00307CFA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  <w:p w:rsidR="00307CFA" w:rsidRPr="0045523E" w:rsidRDefault="00307CFA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307CF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07CFA" w:rsidRDefault="00307CF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07CFA" w:rsidRPr="0045523E" w:rsidRDefault="00307CFA" w:rsidP="00307CF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07CFA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Pr="0045523E" w:rsidRDefault="00307CF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07CFA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07CFA" w:rsidRPr="00EC6586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307CFA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307CFA" w:rsidRPr="00AE4EA5" w:rsidRDefault="00307CFA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A9" w:rsidRDefault="007637A9" w:rsidP="0002570B">
      <w:pPr>
        <w:spacing w:after="0" w:line="240" w:lineRule="auto"/>
      </w:pPr>
      <w:r>
        <w:separator/>
      </w:r>
    </w:p>
  </w:endnote>
  <w:endnote w:type="continuationSeparator" w:id="0">
    <w:p w:rsidR="007637A9" w:rsidRDefault="007637A9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8F5E1D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A9" w:rsidRDefault="007637A9" w:rsidP="0002570B">
      <w:pPr>
        <w:spacing w:after="0" w:line="240" w:lineRule="auto"/>
      </w:pPr>
      <w:r>
        <w:separator/>
      </w:r>
    </w:p>
  </w:footnote>
  <w:footnote w:type="continuationSeparator" w:id="0">
    <w:p w:rsidR="007637A9" w:rsidRDefault="007637A9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44BB7"/>
    <w:rsid w:val="00110968"/>
    <w:rsid w:val="0014505B"/>
    <w:rsid w:val="001652A5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405159"/>
    <w:rsid w:val="004232D1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4891"/>
    <w:rsid w:val="00683234"/>
    <w:rsid w:val="00683F54"/>
    <w:rsid w:val="0068741F"/>
    <w:rsid w:val="00701D08"/>
    <w:rsid w:val="007278A4"/>
    <w:rsid w:val="007462AE"/>
    <w:rsid w:val="00752157"/>
    <w:rsid w:val="00755143"/>
    <w:rsid w:val="007637A9"/>
    <w:rsid w:val="007E52E5"/>
    <w:rsid w:val="007F1253"/>
    <w:rsid w:val="00824FA6"/>
    <w:rsid w:val="008473B1"/>
    <w:rsid w:val="008F5E1D"/>
    <w:rsid w:val="009A5A46"/>
    <w:rsid w:val="009D2170"/>
    <w:rsid w:val="009F3853"/>
    <w:rsid w:val="00A006AE"/>
    <w:rsid w:val="00B138DA"/>
    <w:rsid w:val="00B15A9D"/>
    <w:rsid w:val="00B21669"/>
    <w:rsid w:val="00B92260"/>
    <w:rsid w:val="00BF507A"/>
    <w:rsid w:val="00C21C4E"/>
    <w:rsid w:val="00C50769"/>
    <w:rsid w:val="00C665B2"/>
    <w:rsid w:val="00D26A9F"/>
    <w:rsid w:val="00D43565"/>
    <w:rsid w:val="00D56B93"/>
    <w:rsid w:val="00DA3D5A"/>
    <w:rsid w:val="00DC6263"/>
    <w:rsid w:val="00DF332D"/>
    <w:rsid w:val="00E457A7"/>
    <w:rsid w:val="00E639A2"/>
    <w:rsid w:val="00EB1984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44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BB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44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B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2022-01-21T21:34:00Z</cp:lastPrinted>
  <dcterms:created xsi:type="dcterms:W3CDTF">2022-01-03T21:51:00Z</dcterms:created>
  <dcterms:modified xsi:type="dcterms:W3CDTF">2022-01-21T21:36:00Z</dcterms:modified>
</cp:coreProperties>
</file>